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66B88" w14:textId="77777777" w:rsidR="00886C23" w:rsidRPr="00886C23" w:rsidRDefault="00886C23" w:rsidP="00886C23">
      <w:pPr>
        <w:jc w:val="center"/>
        <w:rPr>
          <w:rFonts w:cs="Arial"/>
          <w:b/>
          <w:sz w:val="24"/>
          <w:szCs w:val="24"/>
        </w:rPr>
      </w:pPr>
      <w:r w:rsidRPr="00886C23">
        <w:rPr>
          <w:rFonts w:cs="Arial"/>
          <w:b/>
          <w:sz w:val="24"/>
          <w:szCs w:val="24"/>
        </w:rPr>
        <w:t>Öffentliche Bekanntmachung</w:t>
      </w:r>
    </w:p>
    <w:p w14:paraId="2AE8221D" w14:textId="77777777" w:rsidR="00886C23" w:rsidRPr="00886C23" w:rsidRDefault="00886C23" w:rsidP="00886C23">
      <w:pPr>
        <w:jc w:val="center"/>
        <w:rPr>
          <w:rFonts w:cs="Arial"/>
          <w:b/>
          <w:sz w:val="24"/>
          <w:szCs w:val="24"/>
        </w:rPr>
      </w:pPr>
    </w:p>
    <w:p w14:paraId="267186FB" w14:textId="77777777" w:rsidR="00886C23" w:rsidRPr="00886C23" w:rsidRDefault="00886C23" w:rsidP="00886C23">
      <w:pPr>
        <w:jc w:val="center"/>
        <w:rPr>
          <w:rFonts w:cs="Arial"/>
          <w:b/>
          <w:sz w:val="24"/>
          <w:szCs w:val="24"/>
        </w:rPr>
      </w:pPr>
      <w:r w:rsidRPr="00886C23">
        <w:rPr>
          <w:rFonts w:cs="Arial"/>
          <w:b/>
          <w:sz w:val="24"/>
          <w:szCs w:val="24"/>
        </w:rPr>
        <w:t>Inkrafttreten des Bebauungsplans mit örtlichen Bauvorschiften</w:t>
      </w:r>
    </w:p>
    <w:p w14:paraId="6C5419DB" w14:textId="2CBA1628" w:rsidR="00886C23" w:rsidRPr="00886C23" w:rsidRDefault="00886C23" w:rsidP="00886C23">
      <w:pPr>
        <w:jc w:val="center"/>
        <w:rPr>
          <w:rFonts w:cs="Arial"/>
          <w:b/>
          <w:sz w:val="24"/>
          <w:szCs w:val="24"/>
        </w:rPr>
      </w:pPr>
      <w:r w:rsidRPr="00886C23">
        <w:rPr>
          <w:rFonts w:cs="Arial"/>
          <w:b/>
          <w:sz w:val="24"/>
          <w:szCs w:val="24"/>
        </w:rPr>
        <w:t>„</w:t>
      </w:r>
      <w:r w:rsidR="008C4E60">
        <w:rPr>
          <w:rFonts w:cs="Arial"/>
          <w:b/>
          <w:sz w:val="24"/>
          <w:szCs w:val="24"/>
        </w:rPr>
        <w:t>Gewerbegebietserweiterung Süd</w:t>
      </w:r>
      <w:r w:rsidRPr="00886C23">
        <w:rPr>
          <w:rFonts w:cs="Arial"/>
          <w:b/>
          <w:sz w:val="24"/>
          <w:szCs w:val="24"/>
        </w:rPr>
        <w:t xml:space="preserve">“ </w:t>
      </w:r>
    </w:p>
    <w:p w14:paraId="7170DC1E" w14:textId="77777777" w:rsidR="00886C23" w:rsidRPr="00886C23" w:rsidRDefault="00886C23" w:rsidP="00886C23">
      <w:pPr>
        <w:jc w:val="center"/>
        <w:rPr>
          <w:rFonts w:cs="Arial"/>
          <w:b/>
          <w:sz w:val="24"/>
          <w:szCs w:val="24"/>
        </w:rPr>
      </w:pPr>
    </w:p>
    <w:p w14:paraId="11B96AF4" w14:textId="2D99F75C" w:rsidR="00886C23" w:rsidRPr="00886C23" w:rsidRDefault="00886C23" w:rsidP="00886C23">
      <w:pPr>
        <w:numPr>
          <w:ilvl w:val="0"/>
          <w:numId w:val="3"/>
        </w:numPr>
        <w:ind w:left="426" w:hanging="426"/>
        <w:rPr>
          <w:rFonts w:cs="Arial"/>
          <w:sz w:val="24"/>
          <w:szCs w:val="24"/>
        </w:rPr>
      </w:pPr>
      <w:r w:rsidRPr="00886C23">
        <w:rPr>
          <w:rFonts w:cs="Arial"/>
          <w:sz w:val="24"/>
          <w:szCs w:val="24"/>
        </w:rPr>
        <w:t xml:space="preserve">Der Gemeinderat der Gemeinde </w:t>
      </w:r>
      <w:r w:rsidR="008C4E60">
        <w:rPr>
          <w:rFonts w:cs="Arial"/>
          <w:sz w:val="24"/>
          <w:szCs w:val="24"/>
        </w:rPr>
        <w:t xml:space="preserve">Dossenheim </w:t>
      </w:r>
      <w:r w:rsidRPr="00886C23">
        <w:rPr>
          <w:rFonts w:cs="Arial"/>
          <w:sz w:val="24"/>
          <w:szCs w:val="24"/>
        </w:rPr>
        <w:t xml:space="preserve">hat am </w:t>
      </w:r>
      <w:r w:rsidR="00BD4759">
        <w:rPr>
          <w:rFonts w:cs="Arial"/>
          <w:sz w:val="24"/>
          <w:szCs w:val="24"/>
        </w:rPr>
        <w:t>27. September</w:t>
      </w:r>
      <w:bookmarkStart w:id="0" w:name="_GoBack"/>
      <w:bookmarkEnd w:id="0"/>
      <w:r w:rsidRPr="00886C23">
        <w:rPr>
          <w:rFonts w:cs="Arial"/>
          <w:sz w:val="24"/>
          <w:szCs w:val="24"/>
        </w:rPr>
        <w:t xml:space="preserve"> 20</w:t>
      </w:r>
      <w:r w:rsidR="008C4E60">
        <w:rPr>
          <w:rFonts w:cs="Arial"/>
          <w:sz w:val="24"/>
          <w:szCs w:val="24"/>
        </w:rPr>
        <w:t>22</w:t>
      </w:r>
      <w:r w:rsidRPr="00886C23">
        <w:rPr>
          <w:rFonts w:cs="Arial"/>
          <w:sz w:val="24"/>
          <w:szCs w:val="24"/>
        </w:rPr>
        <w:t xml:space="preserve"> in öffentlicher Sitzung den Bebauungsplan </w:t>
      </w:r>
      <w:r w:rsidRPr="00886C23">
        <w:rPr>
          <w:rFonts w:cs="Arial"/>
          <w:b/>
          <w:sz w:val="24"/>
          <w:szCs w:val="24"/>
        </w:rPr>
        <w:t>„</w:t>
      </w:r>
      <w:bookmarkStart w:id="1" w:name="_Hlk109722546"/>
      <w:r w:rsidR="008C4E60">
        <w:rPr>
          <w:rFonts w:cs="Arial"/>
          <w:b/>
          <w:sz w:val="24"/>
          <w:szCs w:val="24"/>
        </w:rPr>
        <w:t>Gewerbegebietserweiterung Süd</w:t>
      </w:r>
      <w:bookmarkEnd w:id="1"/>
      <w:r w:rsidRPr="00886C23">
        <w:rPr>
          <w:rFonts w:cs="Arial"/>
          <w:b/>
          <w:sz w:val="24"/>
          <w:szCs w:val="24"/>
        </w:rPr>
        <w:t xml:space="preserve">“ </w:t>
      </w:r>
      <w:r w:rsidRPr="00886C23">
        <w:rPr>
          <w:rFonts w:cs="Arial"/>
          <w:sz w:val="24"/>
          <w:szCs w:val="24"/>
        </w:rPr>
        <w:t>und die zusammen mit dem Bebauungsplan aufgestellten örtlichen Bauvorschriften aufgrund von § 10 Baugesetzbuch (BauGB) und § 74 Landesbauordnung Baden-Württemberg (LBO) in Verbindung mit § 4 der Gemeindeordnung von Baden-Württemberg, in der jeweils geltenden Fassung, als Satzung beschlossen.</w:t>
      </w:r>
    </w:p>
    <w:p w14:paraId="1148D674" w14:textId="77777777" w:rsidR="00886C23" w:rsidRPr="00886C23" w:rsidRDefault="00886C23" w:rsidP="00886C23">
      <w:pPr>
        <w:ind w:left="426" w:hanging="426"/>
        <w:rPr>
          <w:rFonts w:cs="Arial"/>
          <w:sz w:val="24"/>
          <w:szCs w:val="24"/>
        </w:rPr>
      </w:pPr>
    </w:p>
    <w:p w14:paraId="3257E261" w14:textId="77777777" w:rsidR="00886C23" w:rsidRPr="00886C23" w:rsidRDefault="00886C23" w:rsidP="00886C23">
      <w:pPr>
        <w:numPr>
          <w:ilvl w:val="0"/>
          <w:numId w:val="3"/>
        </w:numPr>
        <w:ind w:left="426" w:hanging="426"/>
        <w:rPr>
          <w:rFonts w:cs="Arial"/>
          <w:sz w:val="24"/>
          <w:szCs w:val="24"/>
        </w:rPr>
      </w:pPr>
      <w:r w:rsidRPr="00886C23">
        <w:rPr>
          <w:rFonts w:cs="Arial"/>
          <w:sz w:val="24"/>
          <w:szCs w:val="24"/>
        </w:rPr>
        <w:t>Eine Genehmigung durch die höhere Verwaltungsbehörde i. S. von § 10 Abs. 2 BauGB war nicht erforderlich.</w:t>
      </w:r>
    </w:p>
    <w:p w14:paraId="70946C97" w14:textId="77777777" w:rsidR="00886C23" w:rsidRPr="00886C23" w:rsidRDefault="00886C23" w:rsidP="00886C23">
      <w:pPr>
        <w:ind w:left="426" w:hanging="426"/>
        <w:rPr>
          <w:rFonts w:cs="Arial"/>
          <w:sz w:val="24"/>
          <w:szCs w:val="24"/>
        </w:rPr>
      </w:pPr>
    </w:p>
    <w:p w14:paraId="741A322A" w14:textId="6EE7DA02" w:rsidR="008C4E60" w:rsidRPr="008C4E60" w:rsidRDefault="00886C23" w:rsidP="008C4E60">
      <w:pPr>
        <w:numPr>
          <w:ilvl w:val="0"/>
          <w:numId w:val="3"/>
        </w:numPr>
        <w:ind w:left="426" w:hanging="426"/>
        <w:rPr>
          <w:rFonts w:cs="Arial"/>
          <w:sz w:val="24"/>
          <w:szCs w:val="24"/>
        </w:rPr>
      </w:pPr>
      <w:r w:rsidRPr="00504AA7">
        <w:rPr>
          <w:rFonts w:cs="Arial"/>
          <w:sz w:val="24"/>
          <w:szCs w:val="24"/>
        </w:rPr>
        <w:t xml:space="preserve">Für den räumlichen Geltungsbereich des Bebauungsplans mit den überplanten Grundstücken ist der Lageplan des Bebauungsplanes auf der Planzeichnung und die Planzeichnung selbst mit den zeichnerischen Festsetzungen vom </w:t>
      </w:r>
      <w:r w:rsidR="008C4E60" w:rsidRPr="00504AA7">
        <w:rPr>
          <w:rFonts w:cs="Arial"/>
          <w:sz w:val="24"/>
          <w:szCs w:val="24"/>
        </w:rPr>
        <w:t>2</w:t>
      </w:r>
      <w:r w:rsidR="00FC4D2E">
        <w:rPr>
          <w:rFonts w:cs="Arial"/>
          <w:sz w:val="24"/>
          <w:szCs w:val="24"/>
        </w:rPr>
        <w:t>6</w:t>
      </w:r>
      <w:r w:rsidRPr="00504AA7">
        <w:rPr>
          <w:rFonts w:cs="Arial"/>
          <w:sz w:val="24"/>
          <w:szCs w:val="24"/>
        </w:rPr>
        <w:t>.0</w:t>
      </w:r>
      <w:r w:rsidR="008C4E60" w:rsidRPr="00504AA7">
        <w:rPr>
          <w:rFonts w:cs="Arial"/>
          <w:sz w:val="24"/>
          <w:szCs w:val="24"/>
        </w:rPr>
        <w:t>7</w:t>
      </w:r>
      <w:r w:rsidRPr="00504AA7">
        <w:rPr>
          <w:rFonts w:cs="Arial"/>
          <w:sz w:val="24"/>
          <w:szCs w:val="24"/>
        </w:rPr>
        <w:t>.20</w:t>
      </w:r>
      <w:r w:rsidR="008C4E60" w:rsidRPr="00504AA7">
        <w:rPr>
          <w:rFonts w:cs="Arial"/>
          <w:sz w:val="24"/>
          <w:szCs w:val="24"/>
        </w:rPr>
        <w:t>22</w:t>
      </w:r>
      <w:r w:rsidRPr="00504AA7">
        <w:rPr>
          <w:rFonts w:cs="Arial"/>
          <w:sz w:val="24"/>
          <w:szCs w:val="24"/>
        </w:rPr>
        <w:t xml:space="preserve"> des Büros MVV Regioplan GmbH, Mannheim maßgebend. </w:t>
      </w:r>
      <w:r w:rsidR="00A56B4A" w:rsidRPr="00504AA7">
        <w:rPr>
          <w:rFonts w:cs="Arial"/>
          <w:sz w:val="24"/>
          <w:szCs w:val="24"/>
        </w:rPr>
        <w:br/>
      </w:r>
      <w:r w:rsidR="008C4E60" w:rsidRPr="00504AA7">
        <w:rPr>
          <w:rFonts w:cs="Arial"/>
          <w:sz w:val="24"/>
          <w:szCs w:val="24"/>
        </w:rPr>
        <w:t>D</w:t>
      </w:r>
      <w:r w:rsidR="00504AA7" w:rsidRPr="00504AA7">
        <w:rPr>
          <w:rFonts w:cs="Arial"/>
          <w:sz w:val="24"/>
          <w:szCs w:val="24"/>
        </w:rPr>
        <w:t>er Geltungsbereich hat eine Größe von rund 5,3 ha</w:t>
      </w:r>
      <w:r w:rsidR="00504AA7">
        <w:rPr>
          <w:rFonts w:cs="Arial"/>
          <w:sz w:val="24"/>
          <w:szCs w:val="24"/>
        </w:rPr>
        <w:t xml:space="preserve"> und </w:t>
      </w:r>
      <w:r w:rsidR="008C4E60" w:rsidRPr="008C4E60">
        <w:rPr>
          <w:rFonts w:cs="Arial"/>
          <w:sz w:val="24"/>
          <w:szCs w:val="24"/>
        </w:rPr>
        <w:t>beinhaltet folgende Grundstücke:</w:t>
      </w:r>
    </w:p>
    <w:p w14:paraId="2C036FFE" w14:textId="77777777" w:rsidR="008C4E60" w:rsidRPr="008C4E60" w:rsidRDefault="008C4E60" w:rsidP="00504AA7">
      <w:pPr>
        <w:ind w:left="426"/>
        <w:rPr>
          <w:rFonts w:cs="Arial"/>
          <w:sz w:val="24"/>
          <w:szCs w:val="24"/>
        </w:rPr>
      </w:pPr>
      <w:r w:rsidRPr="008C4E60">
        <w:rPr>
          <w:rFonts w:cs="Arial"/>
          <w:sz w:val="24"/>
          <w:szCs w:val="24"/>
        </w:rPr>
        <w:t>Gewann „Weidenlach“ Flst.-Nr. 8370 (L 531 teilweise),</w:t>
      </w:r>
    </w:p>
    <w:p w14:paraId="1AEC2B22" w14:textId="77777777" w:rsidR="008C4E60" w:rsidRPr="008C4E60" w:rsidRDefault="008C4E60" w:rsidP="00504AA7">
      <w:pPr>
        <w:ind w:left="426"/>
        <w:rPr>
          <w:rFonts w:cs="Arial"/>
          <w:sz w:val="24"/>
          <w:szCs w:val="24"/>
        </w:rPr>
      </w:pPr>
      <w:r w:rsidRPr="008C4E60">
        <w:rPr>
          <w:rFonts w:cs="Arial"/>
          <w:sz w:val="24"/>
          <w:szCs w:val="24"/>
        </w:rPr>
        <w:t>Gewann „Brühl“ Flst.-Nr. 8411 (Bachgrundstück teilweise), 8422 (Flurweg teilweise), 7706, 7707, 7708, 7709, 7710, 7711, 7712, 7713,</w:t>
      </w:r>
    </w:p>
    <w:p w14:paraId="713F723E" w14:textId="77777777" w:rsidR="008C4E60" w:rsidRPr="008C4E60" w:rsidRDefault="008C4E60" w:rsidP="00504AA7">
      <w:pPr>
        <w:ind w:left="426"/>
        <w:rPr>
          <w:rFonts w:cs="Arial"/>
          <w:sz w:val="24"/>
          <w:szCs w:val="24"/>
        </w:rPr>
      </w:pPr>
      <w:r w:rsidRPr="008C4E60">
        <w:rPr>
          <w:rFonts w:cs="Arial"/>
          <w:sz w:val="24"/>
          <w:szCs w:val="24"/>
        </w:rPr>
        <w:t>Gewann „Neunviertel“ Flst.-Nr. 7717 (Flurweg teilweise), 7727, 7728, 7728/1, 7728/2, 7729, 7730, 7731, 7732, 7733, 8367, 8368,</w:t>
      </w:r>
    </w:p>
    <w:p w14:paraId="2A0EABE3" w14:textId="77777777" w:rsidR="008C4E60" w:rsidRPr="008C4E60" w:rsidRDefault="008C4E60" w:rsidP="00504AA7">
      <w:pPr>
        <w:ind w:left="426"/>
        <w:rPr>
          <w:rFonts w:cs="Arial"/>
          <w:sz w:val="24"/>
          <w:szCs w:val="24"/>
        </w:rPr>
      </w:pPr>
      <w:r w:rsidRPr="008C4E60">
        <w:rPr>
          <w:rFonts w:cs="Arial"/>
          <w:sz w:val="24"/>
          <w:szCs w:val="24"/>
        </w:rPr>
        <w:t>Gewann „Spitzäcker“ Flst.-Nr. 7758 (Flurweg teilweise), 7765, 7765/1, 7766, 7766/1, 7767, 7768, 7769, 7770, 7771, 7772, 7773, 7774.</w:t>
      </w:r>
    </w:p>
    <w:p w14:paraId="4C2B85C8" w14:textId="5A48C5B6" w:rsidR="00A56B4A" w:rsidRDefault="00A56B4A" w:rsidP="00A56B4A">
      <w:pPr>
        <w:ind w:left="426"/>
        <w:rPr>
          <w:rFonts w:cs="Arial"/>
          <w:color w:val="000000" w:themeColor="text1"/>
          <w:sz w:val="24"/>
          <w:szCs w:val="24"/>
        </w:rPr>
      </w:pPr>
      <w:r w:rsidRPr="00504AA7">
        <w:rPr>
          <w:rFonts w:cs="Arial"/>
          <w:color w:val="000000" w:themeColor="text1"/>
          <w:sz w:val="24"/>
          <w:szCs w:val="24"/>
        </w:rPr>
        <w:t xml:space="preserve">Die Lage des Plangebietes und die Abgrenzung des Geltungsbereichs ergibt sich aus dem nachfolgenden Übersichtsplan. </w:t>
      </w:r>
    </w:p>
    <w:p w14:paraId="34D5B740" w14:textId="34A48281" w:rsidR="009D0195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97E42CD" wp14:editId="3E7D9B46">
            <wp:simplePos x="0" y="0"/>
            <wp:positionH relativeFrom="column">
              <wp:posOffset>307975</wp:posOffset>
            </wp:positionH>
            <wp:positionV relativeFrom="paragraph">
              <wp:posOffset>109220</wp:posOffset>
            </wp:positionV>
            <wp:extent cx="5843905" cy="3176009"/>
            <wp:effectExtent l="19050" t="19050" r="23495" b="2476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1760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71D0E" w14:textId="3B92696B" w:rsidR="009D0195" w:rsidRDefault="009D0195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7AE304B6" w14:textId="17C975D2" w:rsidR="009D0195" w:rsidRDefault="009D0195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02906D4D" w14:textId="60690C81" w:rsidR="009D0195" w:rsidRDefault="009D0195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39118CE0" w14:textId="49E2A725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17331D19" w14:textId="1EEFF5B7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76B238B5" w14:textId="2E365FAE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77016DA6" w14:textId="0CD87889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6794E3BA" w14:textId="55F14D1B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2527EC49" w14:textId="07A08071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336C3350" w14:textId="58F949BF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6E8EFB60" w14:textId="7E4E8DA7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269D4292" w14:textId="7A0F9B19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43BE19E6" w14:textId="6EF4644B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30B885FC" w14:textId="31F8EE63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35DE1DA3" w14:textId="2523CF9B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69E03B88" w14:textId="5A58C285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1A2B5AA9" w14:textId="0C41BFEB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516C4887" w14:textId="422738B0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428B7E76" w14:textId="2CF407E1" w:rsidR="001350C2" w:rsidRPr="001350C2" w:rsidRDefault="001350C2" w:rsidP="001350C2">
      <w:pPr>
        <w:ind w:left="426"/>
        <w:rPr>
          <w:rFonts w:cs="Arial"/>
          <w:color w:val="000000" w:themeColor="text1"/>
          <w:sz w:val="24"/>
          <w:szCs w:val="24"/>
        </w:rPr>
      </w:pPr>
      <w:r w:rsidRPr="001350C2">
        <w:rPr>
          <w:rFonts w:cs="Arial"/>
          <w:color w:val="000000" w:themeColor="text1"/>
          <w:sz w:val="24"/>
          <w:szCs w:val="24"/>
        </w:rPr>
        <w:t xml:space="preserve">Als externe Ausgleichsfläche im Sinne des § 1 a Abs. 3 BauGB kommen neben der </w:t>
      </w:r>
      <w:r>
        <w:rPr>
          <w:rFonts w:cs="Arial"/>
          <w:color w:val="000000" w:themeColor="text1"/>
          <w:sz w:val="24"/>
          <w:szCs w:val="24"/>
        </w:rPr>
        <w:t>ca. 8.000 m</w:t>
      </w:r>
      <w:r>
        <w:rPr>
          <w:rFonts w:cs="Arial"/>
          <w:color w:val="000000" w:themeColor="text1"/>
          <w:sz w:val="24"/>
          <w:szCs w:val="24"/>
          <w:vertAlign w:val="superscript"/>
        </w:rPr>
        <w:t>2</w:t>
      </w:r>
      <w:r>
        <w:rPr>
          <w:rFonts w:cs="Arial"/>
          <w:color w:val="000000" w:themeColor="text1"/>
          <w:sz w:val="24"/>
          <w:szCs w:val="24"/>
        </w:rPr>
        <w:t xml:space="preserve"> großen </w:t>
      </w:r>
      <w:r w:rsidRPr="001350C2">
        <w:rPr>
          <w:rFonts w:cs="Arial"/>
          <w:color w:val="000000" w:themeColor="text1"/>
          <w:sz w:val="24"/>
          <w:szCs w:val="24"/>
        </w:rPr>
        <w:t xml:space="preserve">Teilfläche des Flurstücks 8398 im </w:t>
      </w:r>
      <w:r>
        <w:rPr>
          <w:rFonts w:cs="Arial"/>
          <w:color w:val="000000" w:themeColor="text1"/>
          <w:sz w:val="24"/>
          <w:szCs w:val="24"/>
        </w:rPr>
        <w:t xml:space="preserve">Westen im </w:t>
      </w:r>
      <w:r w:rsidRPr="001350C2">
        <w:rPr>
          <w:rFonts w:cs="Arial"/>
          <w:color w:val="000000" w:themeColor="text1"/>
          <w:sz w:val="24"/>
          <w:szCs w:val="24"/>
        </w:rPr>
        <w:t>Gewann „Weidenlache“ noch zwei Waldflächen im Osten der Gemarkung im Gemeindewald von Dossenheim mit 3,1 ha bzw. 4,4 ha hinzu</w:t>
      </w:r>
      <w:r>
        <w:rPr>
          <w:rFonts w:cs="Arial"/>
          <w:color w:val="000000" w:themeColor="text1"/>
          <w:sz w:val="24"/>
          <w:szCs w:val="24"/>
        </w:rPr>
        <w:t>, die in nachfolgender Abbildung dargestellt sind.</w:t>
      </w:r>
    </w:p>
    <w:p w14:paraId="75B68303" w14:textId="75CD0A70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561670BC" w14:textId="2F0A0DAD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BF7AA1A" wp14:editId="13E51259">
            <wp:simplePos x="0" y="0"/>
            <wp:positionH relativeFrom="column">
              <wp:posOffset>299085</wp:posOffset>
            </wp:positionH>
            <wp:positionV relativeFrom="paragraph">
              <wp:posOffset>50165</wp:posOffset>
            </wp:positionV>
            <wp:extent cx="5760085" cy="251714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0" t="2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19FB5" w14:textId="3D8411D1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41B6BA79" w14:textId="1A1C845C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530E6D13" w14:textId="55B1372E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7717E708" w14:textId="6B0725E6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0C45DC79" w14:textId="5B0D79E4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633490FF" w14:textId="72AB602C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33957A83" w14:textId="176478FF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2647ECEA" w14:textId="30589E9B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52C972BB" w14:textId="15434248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50528F89" w14:textId="5DB289BF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1E830831" w14:textId="23DE1273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197686AB" w14:textId="73190D22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2319C857" w14:textId="31D4B285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17ED0AD1" w14:textId="7BC4BA6E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45310B3E" w14:textId="77777777" w:rsidR="001350C2" w:rsidRDefault="001350C2" w:rsidP="00A56B4A">
      <w:pPr>
        <w:ind w:left="426"/>
        <w:rPr>
          <w:rFonts w:cs="Arial"/>
          <w:color w:val="000000" w:themeColor="text1"/>
          <w:sz w:val="24"/>
          <w:szCs w:val="24"/>
        </w:rPr>
      </w:pPr>
    </w:p>
    <w:p w14:paraId="5C45D326" w14:textId="77777777" w:rsidR="00886C23" w:rsidRPr="001350C2" w:rsidRDefault="00886C23" w:rsidP="00886C23">
      <w:pPr>
        <w:numPr>
          <w:ilvl w:val="0"/>
          <w:numId w:val="3"/>
        </w:numPr>
        <w:ind w:left="426" w:hanging="426"/>
        <w:rPr>
          <w:rFonts w:cs="Arial"/>
          <w:color w:val="000000" w:themeColor="text1"/>
          <w:sz w:val="24"/>
          <w:szCs w:val="24"/>
        </w:rPr>
      </w:pPr>
      <w:r w:rsidRPr="001350C2">
        <w:rPr>
          <w:rFonts w:cs="Arial"/>
          <w:color w:val="000000" w:themeColor="text1"/>
          <w:sz w:val="24"/>
          <w:szCs w:val="24"/>
        </w:rPr>
        <w:t>Inhalt des Bebauungsplans. Der Bebauungsplan besteht aus:</w:t>
      </w:r>
    </w:p>
    <w:p w14:paraId="7DC2424D" w14:textId="3CB106DF" w:rsidR="00886C23" w:rsidRPr="001350C2" w:rsidRDefault="00886C23" w:rsidP="00886C23">
      <w:pPr>
        <w:ind w:left="426"/>
        <w:rPr>
          <w:rFonts w:cs="Arial"/>
          <w:color w:val="000000" w:themeColor="text1"/>
          <w:sz w:val="24"/>
          <w:szCs w:val="24"/>
        </w:rPr>
      </w:pPr>
      <w:r w:rsidRPr="001350C2">
        <w:rPr>
          <w:rFonts w:cs="Arial"/>
          <w:color w:val="000000" w:themeColor="text1"/>
          <w:sz w:val="24"/>
          <w:szCs w:val="24"/>
        </w:rPr>
        <w:t>- Der Planzeichnung mit den zeichnerischen Festsetzungen</w:t>
      </w:r>
    </w:p>
    <w:p w14:paraId="20767A96" w14:textId="784C0730" w:rsidR="00886C23" w:rsidRPr="001350C2" w:rsidRDefault="00886C23" w:rsidP="00886C23">
      <w:pPr>
        <w:ind w:left="426"/>
        <w:rPr>
          <w:rFonts w:cs="Arial"/>
          <w:color w:val="000000" w:themeColor="text1"/>
          <w:sz w:val="24"/>
          <w:szCs w:val="24"/>
        </w:rPr>
      </w:pPr>
      <w:r w:rsidRPr="001350C2">
        <w:rPr>
          <w:rFonts w:cs="Arial"/>
          <w:color w:val="000000" w:themeColor="text1"/>
          <w:sz w:val="24"/>
          <w:szCs w:val="24"/>
        </w:rPr>
        <w:t>- Den textlichen Festsetzungen</w:t>
      </w:r>
      <w:r w:rsidR="00FC4D2E">
        <w:rPr>
          <w:rFonts w:cs="Arial"/>
          <w:color w:val="000000" w:themeColor="text1"/>
          <w:sz w:val="24"/>
          <w:szCs w:val="24"/>
        </w:rPr>
        <w:t xml:space="preserve"> A</w:t>
      </w:r>
      <w:r w:rsidRPr="001350C2">
        <w:rPr>
          <w:rFonts w:cs="Arial"/>
          <w:color w:val="000000" w:themeColor="text1"/>
          <w:sz w:val="24"/>
          <w:szCs w:val="24"/>
        </w:rPr>
        <w:t xml:space="preserve"> - planungsrechtliche Festsetzungen</w:t>
      </w:r>
    </w:p>
    <w:p w14:paraId="7C4994A5" w14:textId="7C7CE0DD" w:rsidR="00886C23" w:rsidRPr="001350C2" w:rsidRDefault="00886C23" w:rsidP="00886C23">
      <w:pPr>
        <w:ind w:left="426"/>
        <w:rPr>
          <w:rFonts w:cs="Arial"/>
          <w:color w:val="000000" w:themeColor="text1"/>
          <w:sz w:val="24"/>
          <w:szCs w:val="24"/>
        </w:rPr>
      </w:pPr>
      <w:r w:rsidRPr="001350C2">
        <w:rPr>
          <w:rFonts w:cs="Arial"/>
          <w:color w:val="000000" w:themeColor="text1"/>
          <w:sz w:val="24"/>
          <w:szCs w:val="24"/>
        </w:rPr>
        <w:t>- Den textlichen Festsetzungen B - örtliche Bauvorschriften</w:t>
      </w:r>
    </w:p>
    <w:p w14:paraId="2DD87B13" w14:textId="783D3CE9" w:rsidR="00886C23" w:rsidRPr="001350C2" w:rsidRDefault="00886C23" w:rsidP="00886C23">
      <w:pPr>
        <w:ind w:left="426"/>
        <w:rPr>
          <w:rFonts w:cs="Arial"/>
          <w:color w:val="000000" w:themeColor="text1"/>
          <w:sz w:val="24"/>
          <w:szCs w:val="24"/>
        </w:rPr>
      </w:pPr>
      <w:r w:rsidRPr="001350C2">
        <w:rPr>
          <w:rFonts w:cs="Arial"/>
          <w:color w:val="000000" w:themeColor="text1"/>
          <w:sz w:val="24"/>
          <w:szCs w:val="24"/>
        </w:rPr>
        <w:t>- Den nachrichtlichen Übernahmen C</w:t>
      </w:r>
    </w:p>
    <w:p w14:paraId="64F64890" w14:textId="66A9A050" w:rsidR="00886C23" w:rsidRPr="001350C2" w:rsidRDefault="00886C23" w:rsidP="00886C23">
      <w:pPr>
        <w:ind w:left="426"/>
        <w:rPr>
          <w:rFonts w:cs="Arial"/>
          <w:color w:val="000000" w:themeColor="text1"/>
          <w:sz w:val="24"/>
          <w:szCs w:val="24"/>
        </w:rPr>
      </w:pPr>
      <w:r w:rsidRPr="001350C2">
        <w:rPr>
          <w:rFonts w:cs="Arial"/>
          <w:color w:val="000000" w:themeColor="text1"/>
          <w:sz w:val="24"/>
          <w:szCs w:val="24"/>
        </w:rPr>
        <w:t xml:space="preserve">- Den Hinweisen </w:t>
      </w:r>
      <w:r w:rsidR="00FC4D2E">
        <w:rPr>
          <w:rFonts w:cs="Arial"/>
          <w:color w:val="000000" w:themeColor="text1"/>
          <w:sz w:val="24"/>
          <w:szCs w:val="24"/>
        </w:rPr>
        <w:t>D</w:t>
      </w:r>
    </w:p>
    <w:p w14:paraId="574AB326" w14:textId="1AF35E00" w:rsidR="00886C23" w:rsidRPr="001350C2" w:rsidRDefault="00886C23" w:rsidP="00886C23">
      <w:pPr>
        <w:ind w:left="426"/>
        <w:rPr>
          <w:rFonts w:cs="Arial"/>
          <w:color w:val="000000" w:themeColor="text1"/>
          <w:sz w:val="24"/>
          <w:szCs w:val="24"/>
        </w:rPr>
      </w:pPr>
      <w:r w:rsidRPr="001350C2">
        <w:rPr>
          <w:rFonts w:cs="Arial"/>
          <w:color w:val="000000" w:themeColor="text1"/>
          <w:sz w:val="24"/>
          <w:szCs w:val="24"/>
        </w:rPr>
        <w:t xml:space="preserve">- Der Begründung mit </w:t>
      </w:r>
      <w:r w:rsidR="00FC4D2E">
        <w:rPr>
          <w:rFonts w:cs="Arial"/>
          <w:color w:val="000000" w:themeColor="text1"/>
          <w:sz w:val="24"/>
          <w:szCs w:val="24"/>
        </w:rPr>
        <w:t xml:space="preserve">Umweltbericht und </w:t>
      </w:r>
      <w:r w:rsidRPr="001350C2">
        <w:rPr>
          <w:rFonts w:cs="Arial"/>
          <w:color w:val="000000" w:themeColor="text1"/>
          <w:sz w:val="24"/>
          <w:szCs w:val="24"/>
        </w:rPr>
        <w:t>ihren Anlagen</w:t>
      </w:r>
    </w:p>
    <w:p w14:paraId="67C795CA" w14:textId="43A74404" w:rsidR="00886C23" w:rsidRPr="001350C2" w:rsidRDefault="00886C23" w:rsidP="00886C23">
      <w:pPr>
        <w:ind w:left="426"/>
        <w:rPr>
          <w:rFonts w:cs="Arial"/>
          <w:color w:val="000000" w:themeColor="text1"/>
          <w:sz w:val="24"/>
          <w:szCs w:val="24"/>
        </w:rPr>
      </w:pPr>
      <w:r w:rsidRPr="001350C2">
        <w:rPr>
          <w:rFonts w:cs="Arial"/>
          <w:color w:val="000000" w:themeColor="text1"/>
          <w:sz w:val="24"/>
          <w:szCs w:val="24"/>
        </w:rPr>
        <w:t xml:space="preserve">jeweils in der Fassung vom </w:t>
      </w:r>
      <w:r w:rsidR="00FC4D2E">
        <w:rPr>
          <w:rFonts w:cs="Arial"/>
          <w:color w:val="000000" w:themeColor="text1"/>
          <w:sz w:val="24"/>
          <w:szCs w:val="24"/>
        </w:rPr>
        <w:t>26</w:t>
      </w:r>
      <w:r w:rsidRPr="001350C2">
        <w:rPr>
          <w:rFonts w:cs="Arial"/>
          <w:color w:val="000000" w:themeColor="text1"/>
          <w:sz w:val="24"/>
          <w:szCs w:val="24"/>
        </w:rPr>
        <w:t>.0</w:t>
      </w:r>
      <w:r w:rsidR="00FC4D2E">
        <w:rPr>
          <w:rFonts w:cs="Arial"/>
          <w:color w:val="000000" w:themeColor="text1"/>
          <w:sz w:val="24"/>
          <w:szCs w:val="24"/>
        </w:rPr>
        <w:t>7</w:t>
      </w:r>
      <w:r w:rsidRPr="001350C2">
        <w:rPr>
          <w:rFonts w:cs="Arial"/>
          <w:color w:val="000000" w:themeColor="text1"/>
          <w:sz w:val="24"/>
          <w:szCs w:val="24"/>
        </w:rPr>
        <w:t>.20</w:t>
      </w:r>
      <w:r w:rsidR="00FC4D2E">
        <w:rPr>
          <w:rFonts w:cs="Arial"/>
          <w:color w:val="000000" w:themeColor="text1"/>
          <w:sz w:val="24"/>
          <w:szCs w:val="24"/>
        </w:rPr>
        <w:t>22</w:t>
      </w:r>
    </w:p>
    <w:p w14:paraId="6ECA502E" w14:textId="5DCB6DDA" w:rsidR="00886C23" w:rsidRDefault="006B3AC1" w:rsidP="00886C23">
      <w:pPr>
        <w:ind w:left="708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BB40397" wp14:editId="66333229">
            <wp:simplePos x="0" y="0"/>
            <wp:positionH relativeFrom="column">
              <wp:posOffset>137160</wp:posOffset>
            </wp:positionH>
            <wp:positionV relativeFrom="paragraph">
              <wp:posOffset>92710</wp:posOffset>
            </wp:positionV>
            <wp:extent cx="6120130" cy="3484245"/>
            <wp:effectExtent l="19050" t="19050" r="13970" b="2095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4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4B928" w14:textId="5FBA3169" w:rsidR="00D70329" w:rsidRDefault="00D70329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498E7DCD" w14:textId="07BCCCB3" w:rsidR="00D70329" w:rsidRDefault="00D70329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28A51385" w14:textId="665E61BE" w:rsidR="00D70329" w:rsidRDefault="00D70329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4674440D" w14:textId="4875A699" w:rsidR="00D70329" w:rsidRDefault="00D70329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06DA53E2" w14:textId="00D0B6C9" w:rsidR="00D70329" w:rsidRDefault="00D70329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6200DA8A" w14:textId="55CCCFB4" w:rsidR="00D70329" w:rsidRDefault="00D70329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2D48FD17" w14:textId="642226E2" w:rsidR="00D70329" w:rsidRDefault="00D70329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0D3A898A" w14:textId="19BB3A05" w:rsidR="00D70329" w:rsidRDefault="00D70329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3EAD7ED9" w14:textId="20E82B0B" w:rsidR="00D70329" w:rsidRDefault="00D70329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05C8012B" w14:textId="64E17CA0" w:rsidR="00D70329" w:rsidRDefault="00D70329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3976F432" w14:textId="2382F57D" w:rsidR="00D70329" w:rsidRDefault="00D70329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72106F49" w14:textId="7B8A2A2B" w:rsidR="00D70329" w:rsidRDefault="00D70329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7E80AE20" w14:textId="29A5013B" w:rsidR="00D70329" w:rsidRDefault="00D70329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3A2CF4CC" w14:textId="69B81112" w:rsidR="00D70329" w:rsidRDefault="00D70329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5573CD02" w14:textId="568CAE07" w:rsidR="00D70329" w:rsidRDefault="00D70329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6DFD1663" w14:textId="2150B79F" w:rsidR="00D70329" w:rsidRDefault="00D70329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30A118B8" w14:textId="06F2806E" w:rsidR="00D70329" w:rsidRDefault="00D70329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2035C265" w14:textId="38B3717E" w:rsidR="006B3AC1" w:rsidRDefault="006B3AC1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5715BF05" w14:textId="784E1142" w:rsidR="006B3AC1" w:rsidRDefault="006B3AC1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65F90723" w14:textId="1D93B4CA" w:rsidR="006B3AC1" w:rsidRDefault="006B3AC1" w:rsidP="00886C23">
      <w:pPr>
        <w:ind w:left="708"/>
        <w:rPr>
          <w:rFonts w:cs="Arial"/>
          <w:color w:val="000000" w:themeColor="text1"/>
          <w:sz w:val="24"/>
          <w:szCs w:val="24"/>
        </w:rPr>
      </w:pPr>
    </w:p>
    <w:p w14:paraId="6272E0D5" w14:textId="5EDA3F51" w:rsidR="00886C23" w:rsidRDefault="00886C23" w:rsidP="00886C23">
      <w:pPr>
        <w:numPr>
          <w:ilvl w:val="0"/>
          <w:numId w:val="3"/>
        </w:numPr>
        <w:ind w:left="426" w:hanging="426"/>
        <w:rPr>
          <w:rFonts w:cs="Arial"/>
          <w:color w:val="000000" w:themeColor="text1"/>
          <w:sz w:val="24"/>
          <w:szCs w:val="24"/>
        </w:rPr>
      </w:pPr>
      <w:r w:rsidRPr="00FC4D2E">
        <w:rPr>
          <w:rFonts w:cs="Arial"/>
          <w:color w:val="000000" w:themeColor="text1"/>
          <w:sz w:val="24"/>
          <w:szCs w:val="24"/>
        </w:rPr>
        <w:t xml:space="preserve">Der Bebauungsplan und die örtlichen Bauvorschriften </w:t>
      </w:r>
      <w:r w:rsidRPr="00FC4D2E">
        <w:rPr>
          <w:rFonts w:cs="Arial"/>
          <w:b/>
          <w:color w:val="000000" w:themeColor="text1"/>
          <w:sz w:val="24"/>
          <w:szCs w:val="24"/>
        </w:rPr>
        <w:t>„</w:t>
      </w:r>
      <w:r w:rsidR="00FC4D2E" w:rsidRPr="00FC4D2E">
        <w:rPr>
          <w:rFonts w:cs="Arial"/>
          <w:b/>
          <w:color w:val="000000" w:themeColor="text1"/>
          <w:sz w:val="24"/>
          <w:szCs w:val="24"/>
        </w:rPr>
        <w:t>Gewerbegebietserweiterung Süd</w:t>
      </w:r>
      <w:r w:rsidRPr="00FC4D2E">
        <w:rPr>
          <w:rFonts w:cs="Arial"/>
          <w:b/>
          <w:color w:val="000000" w:themeColor="text1"/>
          <w:sz w:val="24"/>
          <w:szCs w:val="24"/>
        </w:rPr>
        <w:t>“</w:t>
      </w:r>
      <w:r w:rsidRPr="00FC4D2E">
        <w:rPr>
          <w:rFonts w:cs="Arial"/>
          <w:color w:val="000000" w:themeColor="text1"/>
          <w:sz w:val="24"/>
          <w:szCs w:val="24"/>
        </w:rPr>
        <w:t xml:space="preserve"> treten mit dieser Bekanntmachung gem. § 10 Abs. 3 BauGB in Kraft.</w:t>
      </w:r>
      <w:r w:rsidR="00BD4759">
        <w:rPr>
          <w:rFonts w:cs="Arial"/>
          <w:color w:val="000000" w:themeColor="text1"/>
          <w:sz w:val="24"/>
          <w:szCs w:val="24"/>
        </w:rPr>
        <w:br/>
      </w:r>
    </w:p>
    <w:p w14:paraId="410A85DF" w14:textId="75BBF23F" w:rsidR="00BD4759" w:rsidRPr="00BD4759" w:rsidRDefault="00886C23" w:rsidP="00C201F2">
      <w:pPr>
        <w:numPr>
          <w:ilvl w:val="0"/>
          <w:numId w:val="3"/>
        </w:numPr>
        <w:ind w:left="426" w:hanging="426"/>
        <w:rPr>
          <w:rFonts w:ascii="Times New Roman" w:hAnsi="Times New Roman"/>
          <w:color w:val="000000" w:themeColor="text1"/>
          <w:sz w:val="24"/>
          <w:szCs w:val="24"/>
        </w:rPr>
      </w:pPr>
      <w:r w:rsidRPr="00BD4759">
        <w:rPr>
          <w:rFonts w:cs="Arial"/>
          <w:color w:val="000000" w:themeColor="text1"/>
          <w:sz w:val="24"/>
          <w:szCs w:val="24"/>
        </w:rPr>
        <w:t xml:space="preserve">Der Bebauungsplan mit den bauplanungsrechtlichen Festsetzungen und den örtlichen Bauvorschriften sowie die Begründung mit ihren Anlagen werden </w:t>
      </w:r>
      <w:r w:rsidR="00A56B4A" w:rsidRPr="00BD4759">
        <w:rPr>
          <w:rFonts w:cs="Arial"/>
          <w:color w:val="000000" w:themeColor="text1"/>
          <w:sz w:val="24"/>
          <w:szCs w:val="24"/>
        </w:rPr>
        <w:t xml:space="preserve">im Internet auf der Homepage der Gemeinde </w:t>
      </w:r>
      <w:r w:rsidR="00FC4D2E" w:rsidRPr="00BD4759">
        <w:rPr>
          <w:rFonts w:cs="Arial"/>
          <w:color w:val="000000" w:themeColor="text1"/>
          <w:sz w:val="24"/>
          <w:szCs w:val="24"/>
        </w:rPr>
        <w:t xml:space="preserve">Dossenheim </w:t>
      </w:r>
      <w:r w:rsidR="00BD4759" w:rsidRPr="00BD4759">
        <w:rPr>
          <w:rFonts w:cs="Arial"/>
          <w:color w:val="000000" w:themeColor="text1"/>
          <w:sz w:val="24"/>
          <w:szCs w:val="24"/>
        </w:rPr>
        <w:t>(</w:t>
      </w:r>
      <w:hyperlink r:id="rId10" w:history="1">
        <w:r w:rsidR="00BD4759">
          <w:rPr>
            <w:rStyle w:val="Hyperlink"/>
          </w:rPr>
          <w:t>https://dossenheim.de/umwelt-und-wirtschaft/bebauungsplaene/</w:t>
        </w:r>
      </w:hyperlink>
      <w:r w:rsidR="00BD4759">
        <w:t xml:space="preserve">) </w:t>
      </w:r>
      <w:r w:rsidR="00A56B4A" w:rsidRPr="00BD4759">
        <w:rPr>
          <w:rFonts w:cs="Arial"/>
          <w:color w:val="000000" w:themeColor="text1"/>
          <w:sz w:val="24"/>
          <w:szCs w:val="24"/>
        </w:rPr>
        <w:t xml:space="preserve">sowie </w:t>
      </w:r>
      <w:r w:rsidRPr="00BD4759">
        <w:rPr>
          <w:rFonts w:cs="Arial"/>
          <w:color w:val="000000" w:themeColor="text1"/>
          <w:sz w:val="24"/>
          <w:szCs w:val="24"/>
        </w:rPr>
        <w:t xml:space="preserve">bei der Gemeindeverwaltung </w:t>
      </w:r>
      <w:r w:rsidR="00FC4D2E" w:rsidRPr="00BD4759">
        <w:rPr>
          <w:rFonts w:cs="Arial"/>
          <w:color w:val="000000" w:themeColor="text1"/>
          <w:sz w:val="24"/>
          <w:szCs w:val="24"/>
        </w:rPr>
        <w:t>Dossenheim</w:t>
      </w:r>
      <w:r w:rsidRPr="00BD4759">
        <w:rPr>
          <w:rFonts w:cs="Arial"/>
          <w:color w:val="000000" w:themeColor="text1"/>
          <w:sz w:val="24"/>
          <w:szCs w:val="24"/>
        </w:rPr>
        <w:t xml:space="preserve">, </w:t>
      </w:r>
      <w:r w:rsidR="00BD4759" w:rsidRPr="00BD4759">
        <w:rPr>
          <w:rFonts w:cs="Arial"/>
          <w:color w:val="000000" w:themeColor="text1"/>
          <w:sz w:val="24"/>
          <w:szCs w:val="24"/>
        </w:rPr>
        <w:t xml:space="preserve">Rathausplatz 1, 69221 </w:t>
      </w:r>
      <w:r w:rsidR="00BD4759" w:rsidRPr="00BD4759">
        <w:rPr>
          <w:rFonts w:cs="Arial"/>
          <w:color w:val="000000" w:themeColor="text1"/>
          <w:sz w:val="24"/>
          <w:szCs w:val="24"/>
        </w:rPr>
        <w:lastRenderedPageBreak/>
        <w:t>Dossenheim, Fachbereich 2,</w:t>
      </w:r>
      <w:r w:rsidRPr="00BD4759">
        <w:rPr>
          <w:rFonts w:cs="Arial"/>
          <w:color w:val="000000" w:themeColor="text1"/>
          <w:sz w:val="24"/>
          <w:szCs w:val="24"/>
        </w:rPr>
        <w:t xml:space="preserve"> während der üblichen Dienststunden bereitgehalten. Jedermann kann den Bebauungsplan einsehen und über seinen Inhalt Auskunft verlangen.</w:t>
      </w:r>
      <w:r w:rsidRPr="00BD475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610347DE" w14:textId="77777777" w:rsidR="00886C23" w:rsidRPr="00FC4D2E" w:rsidRDefault="00886C23" w:rsidP="00886C23">
      <w:pPr>
        <w:ind w:left="426" w:hanging="426"/>
        <w:rPr>
          <w:rFonts w:cs="Arial"/>
          <w:color w:val="000000" w:themeColor="text1"/>
          <w:sz w:val="24"/>
          <w:szCs w:val="24"/>
        </w:rPr>
      </w:pPr>
    </w:p>
    <w:p w14:paraId="55E900CA" w14:textId="6D851D07" w:rsidR="00886C23" w:rsidRPr="00FC4D2E" w:rsidRDefault="00886C23" w:rsidP="00886C23">
      <w:pPr>
        <w:numPr>
          <w:ilvl w:val="0"/>
          <w:numId w:val="3"/>
        </w:numPr>
        <w:ind w:left="426" w:hanging="426"/>
        <w:rPr>
          <w:rFonts w:cs="Arial"/>
          <w:color w:val="000000" w:themeColor="text1"/>
          <w:sz w:val="24"/>
          <w:szCs w:val="24"/>
        </w:rPr>
      </w:pPr>
      <w:r w:rsidRPr="00FC4D2E">
        <w:rPr>
          <w:rFonts w:cs="Arial"/>
          <w:color w:val="000000" w:themeColor="text1"/>
          <w:sz w:val="24"/>
          <w:szCs w:val="24"/>
        </w:rPr>
        <w:t>Ordnungswidrig im Sinne von § 75 Abs. 3 Nr. 2 LBO handelt, werden aufgrund von §</w:t>
      </w:r>
      <w:r w:rsidR="00FC4D2E">
        <w:rPr>
          <w:rFonts w:cs="Arial"/>
          <w:color w:val="000000" w:themeColor="text1"/>
          <w:sz w:val="24"/>
          <w:szCs w:val="24"/>
        </w:rPr>
        <w:t> </w:t>
      </w:r>
      <w:r w:rsidRPr="00FC4D2E">
        <w:rPr>
          <w:rFonts w:cs="Arial"/>
          <w:color w:val="000000" w:themeColor="text1"/>
          <w:sz w:val="24"/>
          <w:szCs w:val="24"/>
        </w:rPr>
        <w:t>74 LBO erlassenen örtlichen Bauvorschriften zuwider handelt.</w:t>
      </w:r>
    </w:p>
    <w:p w14:paraId="66D029DC" w14:textId="77777777" w:rsidR="00886C23" w:rsidRPr="00FC4D2E" w:rsidRDefault="00886C23" w:rsidP="00886C23">
      <w:pPr>
        <w:ind w:left="426" w:hanging="426"/>
        <w:rPr>
          <w:rFonts w:cs="Arial"/>
          <w:color w:val="000000" w:themeColor="text1"/>
          <w:sz w:val="24"/>
          <w:szCs w:val="24"/>
        </w:rPr>
      </w:pPr>
    </w:p>
    <w:p w14:paraId="5AE2CD03" w14:textId="77777777" w:rsidR="00886C23" w:rsidRPr="00FC4D2E" w:rsidRDefault="00886C23" w:rsidP="00886C23">
      <w:pPr>
        <w:numPr>
          <w:ilvl w:val="0"/>
          <w:numId w:val="3"/>
        </w:numPr>
        <w:ind w:left="426" w:hanging="426"/>
        <w:rPr>
          <w:rFonts w:cs="Arial"/>
          <w:color w:val="000000" w:themeColor="text1"/>
          <w:sz w:val="24"/>
          <w:szCs w:val="24"/>
        </w:rPr>
      </w:pPr>
      <w:r w:rsidRPr="00FC4D2E">
        <w:rPr>
          <w:rFonts w:cs="Arial"/>
          <w:color w:val="000000" w:themeColor="text1"/>
          <w:sz w:val="24"/>
          <w:szCs w:val="24"/>
        </w:rPr>
        <w:t>Auf die Vorschriften des § 44 Abs. 3 Satz 1 und 2 sowie Abs. 4 BauGB über die fristgemäße Geltendmachung etwaiger Entschädigungsansprüche im Falle der in §§ 39 – 42 BauGB bezeichneten Vermögensnachteile bzw. für Eingriffe in eine bisher zulässige Nutzung durch diesen Bebauungsplan und über das Erlöschen von Entschädigungsansprüchen, wenn der Antrag nicht innerhalb der Frist von 3 Jahren gestellt ist, wird hingewiesen.</w:t>
      </w:r>
    </w:p>
    <w:p w14:paraId="49DFE21A" w14:textId="77777777" w:rsidR="00886C23" w:rsidRPr="00FC4D2E" w:rsidRDefault="00886C23" w:rsidP="00886C23">
      <w:pPr>
        <w:ind w:left="426" w:hanging="426"/>
        <w:rPr>
          <w:rFonts w:cs="Arial"/>
          <w:color w:val="000000" w:themeColor="text1"/>
          <w:sz w:val="24"/>
          <w:szCs w:val="24"/>
        </w:rPr>
      </w:pPr>
    </w:p>
    <w:p w14:paraId="2CF1DC82" w14:textId="4BDB2196" w:rsidR="00886C23" w:rsidRPr="00FC4D2E" w:rsidRDefault="00886C23" w:rsidP="00886C23">
      <w:pPr>
        <w:numPr>
          <w:ilvl w:val="0"/>
          <w:numId w:val="3"/>
        </w:numPr>
        <w:ind w:left="426" w:hanging="426"/>
        <w:rPr>
          <w:rFonts w:cs="Arial"/>
          <w:color w:val="000000" w:themeColor="text1"/>
          <w:sz w:val="24"/>
          <w:szCs w:val="24"/>
        </w:rPr>
      </w:pPr>
      <w:r w:rsidRPr="00FC4D2E">
        <w:rPr>
          <w:rFonts w:cs="Arial"/>
          <w:color w:val="000000" w:themeColor="text1"/>
          <w:sz w:val="24"/>
          <w:szCs w:val="24"/>
        </w:rPr>
        <w:t xml:space="preserve">Es wird darauf hingewiesen, dass eine etwaige Verletzung der im § 214 Abs. 1 Satz 1 Nr. 1-3 BauGB genannten Verfahrens- und Formvorschriften, eine unter Berücksichtigung des § 214 Abs. 2 BauGB beachtlichen Verletzung der Vorschriften über das Verhältnis des Bebauungsplans und des Flächennutzungsplans oder aber nach § 214 Abs. 3 Satz 2 BauGB beachtlicher Mangel des Abwägungsvorgangs nur beachtlich werden, wenn sie innerhalb eines Jahres seit dieser Bekanntmachung schriftlich gegenüber der Gemeindeverwaltung </w:t>
      </w:r>
      <w:r w:rsidR="00FC4D2E">
        <w:rPr>
          <w:rFonts w:cs="Arial"/>
          <w:color w:val="000000" w:themeColor="text1"/>
          <w:sz w:val="24"/>
          <w:szCs w:val="24"/>
        </w:rPr>
        <w:t xml:space="preserve">Dossenheim </w:t>
      </w:r>
      <w:r w:rsidRPr="00FC4D2E">
        <w:rPr>
          <w:rFonts w:cs="Arial"/>
          <w:color w:val="000000" w:themeColor="text1"/>
          <w:sz w:val="24"/>
          <w:szCs w:val="24"/>
        </w:rPr>
        <w:t>geltend gemacht worden sind. Der Sachverhalt, der die Verletzung der Rechtsvorschriften oder den Mangel des Abwägungsvorgangs begründen soll, ist darzulegen.</w:t>
      </w:r>
    </w:p>
    <w:p w14:paraId="55A531A1" w14:textId="77777777" w:rsidR="00886C23" w:rsidRPr="00CA38BD" w:rsidRDefault="00886C23" w:rsidP="00886C23">
      <w:pPr>
        <w:ind w:left="426" w:hanging="426"/>
        <w:rPr>
          <w:rFonts w:cs="Arial"/>
          <w:color w:val="000000" w:themeColor="text1"/>
          <w:sz w:val="24"/>
          <w:szCs w:val="24"/>
        </w:rPr>
      </w:pPr>
    </w:p>
    <w:p w14:paraId="3D6DD57D" w14:textId="77777777" w:rsidR="00886C23" w:rsidRPr="00CA38BD" w:rsidRDefault="00886C23" w:rsidP="00886C23">
      <w:pPr>
        <w:numPr>
          <w:ilvl w:val="0"/>
          <w:numId w:val="3"/>
        </w:numPr>
        <w:ind w:left="426" w:hanging="426"/>
        <w:rPr>
          <w:rFonts w:cs="Arial"/>
          <w:color w:val="000000" w:themeColor="text1"/>
          <w:sz w:val="24"/>
          <w:szCs w:val="24"/>
        </w:rPr>
      </w:pPr>
      <w:r w:rsidRPr="00CA38BD">
        <w:rPr>
          <w:rFonts w:cs="Arial"/>
          <w:color w:val="000000" w:themeColor="text1"/>
          <w:sz w:val="24"/>
          <w:szCs w:val="24"/>
        </w:rPr>
        <w:t>Nach § 4 Abs.4 der Gemeindeordnung für Baden-Württemberg gilt der Bebauungsplan – sofern er unter der Verletzung von Verfahrens- und Formvorschriften der Gemeindeordnung oder aufgrund der Gemeindeordnung ergangenen Bestimmungen zustande gekommen ist – ein Jahr nach dieser Bekanntmachung als von Anfang an gültig zustande gekommen. Dies gilt nicht, wenn</w:t>
      </w:r>
    </w:p>
    <w:p w14:paraId="39A3FABF" w14:textId="77777777" w:rsidR="00886C23" w:rsidRPr="00CA38BD" w:rsidRDefault="00886C23" w:rsidP="00886C23">
      <w:pPr>
        <w:rPr>
          <w:rFonts w:cs="Arial"/>
          <w:color w:val="000000" w:themeColor="text1"/>
          <w:sz w:val="24"/>
          <w:szCs w:val="24"/>
        </w:rPr>
      </w:pPr>
    </w:p>
    <w:p w14:paraId="62D73F29" w14:textId="77777777" w:rsidR="00886C23" w:rsidRPr="00CA38BD" w:rsidRDefault="00886C23" w:rsidP="00886C23">
      <w:pPr>
        <w:numPr>
          <w:ilvl w:val="0"/>
          <w:numId w:val="2"/>
        </w:numPr>
        <w:rPr>
          <w:rFonts w:cs="Arial"/>
          <w:color w:val="000000" w:themeColor="text1"/>
          <w:sz w:val="24"/>
          <w:szCs w:val="24"/>
        </w:rPr>
      </w:pPr>
      <w:r w:rsidRPr="00CA38BD">
        <w:rPr>
          <w:rFonts w:cs="Arial"/>
          <w:color w:val="000000" w:themeColor="text1"/>
          <w:sz w:val="24"/>
          <w:szCs w:val="24"/>
        </w:rPr>
        <w:t>Die Vorschriften über die Öffentlichkeit der Sitzung, die Genehmigung oder die Bekanntmachung des Bebauungsplans verletzt worden sind.</w:t>
      </w:r>
    </w:p>
    <w:p w14:paraId="769EF690" w14:textId="77777777" w:rsidR="00886C23" w:rsidRPr="00CA38BD" w:rsidRDefault="00886C23" w:rsidP="00886C23">
      <w:pPr>
        <w:numPr>
          <w:ilvl w:val="0"/>
          <w:numId w:val="2"/>
        </w:numPr>
        <w:rPr>
          <w:rFonts w:cs="Arial"/>
          <w:color w:val="000000" w:themeColor="text1"/>
          <w:sz w:val="24"/>
          <w:szCs w:val="24"/>
        </w:rPr>
      </w:pPr>
      <w:r w:rsidRPr="00CA38BD">
        <w:rPr>
          <w:rFonts w:cs="Arial"/>
          <w:color w:val="000000" w:themeColor="text1"/>
          <w:sz w:val="24"/>
          <w:szCs w:val="24"/>
        </w:rPr>
        <w:t>Der Bürgermeister dem Beschluss nach § 43 Gemeindeordnung wegen Gesetzwidrigkeit widersprochen hat, oder wenn innerhalb eines Jahres seit dieser Bekanntmachung die Rechtsaufsichtsbehörde den Beschluss beanstandet hat oder die Verletzung von Verfahrens- und Formvorschriften gegenüber der Gemeinde unter Bezeichnung des Sachverhalts, der die Verletzung begründen soll, schriftlich geltend gemacht worden ist</w:t>
      </w:r>
    </w:p>
    <w:p w14:paraId="4B65D704" w14:textId="77777777" w:rsidR="00886C23" w:rsidRPr="00CA38BD" w:rsidRDefault="00886C23" w:rsidP="00886C23">
      <w:pPr>
        <w:ind w:left="360"/>
        <w:rPr>
          <w:rFonts w:cs="Arial"/>
          <w:color w:val="000000" w:themeColor="text1"/>
          <w:sz w:val="24"/>
          <w:szCs w:val="24"/>
        </w:rPr>
      </w:pPr>
    </w:p>
    <w:p w14:paraId="1CF69317" w14:textId="77777777" w:rsidR="00886C23" w:rsidRPr="00CA38BD" w:rsidRDefault="00886C23" w:rsidP="00886C23">
      <w:pPr>
        <w:ind w:left="360"/>
        <w:rPr>
          <w:rFonts w:cs="Arial"/>
          <w:color w:val="000000" w:themeColor="text1"/>
          <w:sz w:val="24"/>
          <w:szCs w:val="24"/>
        </w:rPr>
      </w:pPr>
    </w:p>
    <w:p w14:paraId="3A759CA4" w14:textId="32C65701" w:rsidR="00886C23" w:rsidRPr="00CA38BD" w:rsidRDefault="00CA38BD" w:rsidP="00886C23">
      <w:pPr>
        <w:ind w:left="360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Dossenheim</w:t>
      </w:r>
      <w:r w:rsidR="00886C23" w:rsidRPr="00CA38BD">
        <w:rPr>
          <w:rFonts w:cs="Arial"/>
          <w:color w:val="000000" w:themeColor="text1"/>
          <w:sz w:val="24"/>
          <w:szCs w:val="24"/>
        </w:rPr>
        <w:t xml:space="preserve">, den </w:t>
      </w:r>
      <w:r w:rsidR="00BD4759">
        <w:rPr>
          <w:rFonts w:cs="Arial"/>
          <w:color w:val="000000" w:themeColor="text1"/>
          <w:sz w:val="24"/>
          <w:szCs w:val="24"/>
        </w:rPr>
        <w:t>28.09.2022</w:t>
      </w:r>
    </w:p>
    <w:p w14:paraId="4D071DC3" w14:textId="30427F57" w:rsidR="00886C23" w:rsidRPr="00CA38BD" w:rsidRDefault="00886C23" w:rsidP="00886C23">
      <w:pPr>
        <w:ind w:left="360"/>
        <w:rPr>
          <w:rFonts w:cs="Arial"/>
          <w:color w:val="000000" w:themeColor="text1"/>
          <w:sz w:val="24"/>
          <w:szCs w:val="24"/>
        </w:rPr>
      </w:pPr>
    </w:p>
    <w:p w14:paraId="250DA80B" w14:textId="77777777" w:rsidR="00886C23" w:rsidRPr="00CA38BD" w:rsidRDefault="00886C23" w:rsidP="00886C23">
      <w:pPr>
        <w:ind w:left="360"/>
        <w:rPr>
          <w:rFonts w:cs="Arial"/>
          <w:color w:val="000000" w:themeColor="text1"/>
          <w:sz w:val="24"/>
          <w:szCs w:val="24"/>
        </w:rPr>
      </w:pPr>
    </w:p>
    <w:p w14:paraId="17F47E8C" w14:textId="77777777" w:rsidR="00886C23" w:rsidRPr="00CA38BD" w:rsidRDefault="00886C23" w:rsidP="00886C23">
      <w:pPr>
        <w:ind w:left="360"/>
        <w:rPr>
          <w:rFonts w:cs="Arial"/>
          <w:color w:val="000000" w:themeColor="text1"/>
          <w:sz w:val="24"/>
          <w:szCs w:val="24"/>
        </w:rPr>
      </w:pPr>
    </w:p>
    <w:p w14:paraId="19A77E74" w14:textId="75698E4D" w:rsidR="00886C23" w:rsidRPr="00CA38BD" w:rsidRDefault="00CA38BD" w:rsidP="00886C23">
      <w:pPr>
        <w:ind w:left="360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David Faulhaber</w:t>
      </w:r>
      <w:r w:rsidR="00886C23" w:rsidRPr="00CA38BD">
        <w:rPr>
          <w:rFonts w:cs="Arial"/>
          <w:color w:val="000000" w:themeColor="text1"/>
          <w:sz w:val="24"/>
          <w:szCs w:val="24"/>
        </w:rPr>
        <w:t>, Bürgermeister</w:t>
      </w:r>
    </w:p>
    <w:p w14:paraId="49AAE774" w14:textId="77777777" w:rsidR="00886C23" w:rsidRPr="00CA38BD" w:rsidRDefault="00886C23" w:rsidP="00886C23">
      <w:pPr>
        <w:rPr>
          <w:rFonts w:cs="Arial"/>
          <w:color w:val="000000" w:themeColor="text1"/>
          <w:sz w:val="24"/>
          <w:szCs w:val="24"/>
        </w:rPr>
      </w:pPr>
    </w:p>
    <w:p w14:paraId="3C7E39A3" w14:textId="77777777" w:rsidR="00886C23" w:rsidRPr="00CA38BD" w:rsidRDefault="00886C23" w:rsidP="00886C23">
      <w:pPr>
        <w:rPr>
          <w:rFonts w:cs="Arial"/>
          <w:color w:val="000000" w:themeColor="text1"/>
          <w:sz w:val="24"/>
          <w:szCs w:val="24"/>
        </w:rPr>
      </w:pPr>
    </w:p>
    <w:sectPr w:rsidR="00886C23" w:rsidRPr="00CA38BD" w:rsidSect="004759E5">
      <w:pgSz w:w="11906" w:h="16838"/>
      <w:pgMar w:top="851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AF479C" w14:textId="77777777" w:rsidR="00CE11B1" w:rsidRDefault="00CE11B1">
      <w:r>
        <w:separator/>
      </w:r>
    </w:p>
  </w:endnote>
  <w:endnote w:type="continuationSeparator" w:id="0">
    <w:p w14:paraId="2833BEA1" w14:textId="77777777" w:rsidR="00CE11B1" w:rsidRDefault="00CE1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D77315" w14:textId="77777777" w:rsidR="00CE11B1" w:rsidRDefault="00CE11B1">
      <w:r>
        <w:separator/>
      </w:r>
    </w:p>
  </w:footnote>
  <w:footnote w:type="continuationSeparator" w:id="0">
    <w:p w14:paraId="711006D9" w14:textId="77777777" w:rsidR="00CE11B1" w:rsidRDefault="00CE11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63462"/>
    <w:multiLevelType w:val="hybridMultilevel"/>
    <w:tmpl w:val="7C962C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204493"/>
    <w:multiLevelType w:val="hybridMultilevel"/>
    <w:tmpl w:val="E99A58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34103A"/>
    <w:multiLevelType w:val="hybridMultilevel"/>
    <w:tmpl w:val="454609A2"/>
    <w:lvl w:ilvl="0" w:tplc="EA347BD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1B1"/>
    <w:rsid w:val="000A464A"/>
    <w:rsid w:val="000C72ED"/>
    <w:rsid w:val="000D7247"/>
    <w:rsid w:val="000D7598"/>
    <w:rsid w:val="000F7C5D"/>
    <w:rsid w:val="001350C2"/>
    <w:rsid w:val="00137B5E"/>
    <w:rsid w:val="001425D6"/>
    <w:rsid w:val="00192073"/>
    <w:rsid w:val="001C7F9B"/>
    <w:rsid w:val="001E35B5"/>
    <w:rsid w:val="002341E5"/>
    <w:rsid w:val="002362CF"/>
    <w:rsid w:val="00244C88"/>
    <w:rsid w:val="00272B09"/>
    <w:rsid w:val="002A51F5"/>
    <w:rsid w:val="002B38EF"/>
    <w:rsid w:val="002F4A20"/>
    <w:rsid w:val="003019CB"/>
    <w:rsid w:val="00335FC9"/>
    <w:rsid w:val="003415B5"/>
    <w:rsid w:val="003B1524"/>
    <w:rsid w:val="003F6441"/>
    <w:rsid w:val="00416D63"/>
    <w:rsid w:val="00420A07"/>
    <w:rsid w:val="00446776"/>
    <w:rsid w:val="004759E5"/>
    <w:rsid w:val="0048331D"/>
    <w:rsid w:val="00497D21"/>
    <w:rsid w:val="004F484E"/>
    <w:rsid w:val="00504AA7"/>
    <w:rsid w:val="00512D29"/>
    <w:rsid w:val="00544D0F"/>
    <w:rsid w:val="005716EB"/>
    <w:rsid w:val="005A74D5"/>
    <w:rsid w:val="00600D59"/>
    <w:rsid w:val="0061442E"/>
    <w:rsid w:val="0063404E"/>
    <w:rsid w:val="00653A56"/>
    <w:rsid w:val="00655CD3"/>
    <w:rsid w:val="00676580"/>
    <w:rsid w:val="00686800"/>
    <w:rsid w:val="00687E3E"/>
    <w:rsid w:val="00694523"/>
    <w:rsid w:val="006B3AC1"/>
    <w:rsid w:val="006B4947"/>
    <w:rsid w:val="006B6891"/>
    <w:rsid w:val="006C3FBE"/>
    <w:rsid w:val="007045A4"/>
    <w:rsid w:val="007526FF"/>
    <w:rsid w:val="007674D4"/>
    <w:rsid w:val="007702F0"/>
    <w:rsid w:val="007716E0"/>
    <w:rsid w:val="00775E75"/>
    <w:rsid w:val="007C00C2"/>
    <w:rsid w:val="00821EF4"/>
    <w:rsid w:val="0087355B"/>
    <w:rsid w:val="00886C23"/>
    <w:rsid w:val="008B69E9"/>
    <w:rsid w:val="008C4E60"/>
    <w:rsid w:val="008D0220"/>
    <w:rsid w:val="008D256F"/>
    <w:rsid w:val="008D467B"/>
    <w:rsid w:val="008F6FEE"/>
    <w:rsid w:val="00901C4A"/>
    <w:rsid w:val="0090318B"/>
    <w:rsid w:val="00904302"/>
    <w:rsid w:val="00960FBB"/>
    <w:rsid w:val="00965F69"/>
    <w:rsid w:val="00966757"/>
    <w:rsid w:val="00996CAF"/>
    <w:rsid w:val="009A37FC"/>
    <w:rsid w:val="009B0F2A"/>
    <w:rsid w:val="009B5AE1"/>
    <w:rsid w:val="009C52C3"/>
    <w:rsid w:val="009D0195"/>
    <w:rsid w:val="009E5F0D"/>
    <w:rsid w:val="00A40C75"/>
    <w:rsid w:val="00A431E4"/>
    <w:rsid w:val="00A46425"/>
    <w:rsid w:val="00A56B4A"/>
    <w:rsid w:val="00A6405D"/>
    <w:rsid w:val="00A76A53"/>
    <w:rsid w:val="00AC0D05"/>
    <w:rsid w:val="00AD0D56"/>
    <w:rsid w:val="00B00F6D"/>
    <w:rsid w:val="00B75EF1"/>
    <w:rsid w:val="00B87845"/>
    <w:rsid w:val="00BB0D03"/>
    <w:rsid w:val="00BD1F1E"/>
    <w:rsid w:val="00BD4759"/>
    <w:rsid w:val="00BD7294"/>
    <w:rsid w:val="00C01811"/>
    <w:rsid w:val="00C309D6"/>
    <w:rsid w:val="00C33862"/>
    <w:rsid w:val="00C44FA1"/>
    <w:rsid w:val="00CA38BD"/>
    <w:rsid w:val="00CB5F29"/>
    <w:rsid w:val="00CE11B1"/>
    <w:rsid w:val="00CE58AF"/>
    <w:rsid w:val="00D075C4"/>
    <w:rsid w:val="00D56C52"/>
    <w:rsid w:val="00D70329"/>
    <w:rsid w:val="00D71090"/>
    <w:rsid w:val="00D83E3A"/>
    <w:rsid w:val="00D84B12"/>
    <w:rsid w:val="00D86FCA"/>
    <w:rsid w:val="00D9225C"/>
    <w:rsid w:val="00DA2BEC"/>
    <w:rsid w:val="00DC0B1E"/>
    <w:rsid w:val="00DC411A"/>
    <w:rsid w:val="00DF04DE"/>
    <w:rsid w:val="00EA7D63"/>
    <w:rsid w:val="00ED688B"/>
    <w:rsid w:val="00F04DBE"/>
    <w:rsid w:val="00F113E0"/>
    <w:rsid w:val="00F35190"/>
    <w:rsid w:val="00F603C1"/>
    <w:rsid w:val="00F701FC"/>
    <w:rsid w:val="00F76E0D"/>
    <w:rsid w:val="00F83475"/>
    <w:rsid w:val="00FC4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F45135"/>
  <w15:docId w15:val="{9D630D80-07BA-442B-B985-44531A101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3">
    <w:name w:val="Body Text 3"/>
    <w:basedOn w:val="Standard"/>
    <w:rsid w:val="004759E5"/>
    <w:pPr>
      <w:jc w:val="both"/>
    </w:pPr>
    <w:rPr>
      <w:b/>
      <w:sz w:val="22"/>
    </w:rPr>
  </w:style>
  <w:style w:type="paragraph" w:styleId="Textkrper">
    <w:name w:val="Body Text"/>
    <w:basedOn w:val="Standard"/>
    <w:rsid w:val="004759E5"/>
    <w:pPr>
      <w:spacing w:after="120"/>
    </w:pPr>
  </w:style>
  <w:style w:type="paragraph" w:styleId="Blocktext">
    <w:name w:val="Block Text"/>
    <w:basedOn w:val="Standard"/>
    <w:rsid w:val="007674D4"/>
    <w:pPr>
      <w:ind w:left="567" w:right="-284"/>
      <w:jc w:val="both"/>
    </w:pPr>
    <w:rPr>
      <w:sz w:val="22"/>
      <w:szCs w:val="24"/>
    </w:rPr>
  </w:style>
  <w:style w:type="paragraph" w:styleId="Titel">
    <w:name w:val="Title"/>
    <w:basedOn w:val="Standard"/>
    <w:qFormat/>
    <w:rsid w:val="00A40C75"/>
    <w:pPr>
      <w:jc w:val="center"/>
    </w:pPr>
    <w:rPr>
      <w:b/>
      <w:sz w:val="28"/>
    </w:rPr>
  </w:style>
  <w:style w:type="paragraph" w:styleId="Untertitel">
    <w:name w:val="Subtitle"/>
    <w:basedOn w:val="Standard"/>
    <w:qFormat/>
    <w:rsid w:val="00A40C75"/>
    <w:pPr>
      <w:jc w:val="center"/>
    </w:pPr>
    <w:rPr>
      <w:b/>
      <w:sz w:val="24"/>
    </w:rPr>
  </w:style>
  <w:style w:type="character" w:styleId="Hyperlink">
    <w:name w:val="Hyperlink"/>
    <w:basedOn w:val="Absatz-Standardschriftart"/>
    <w:rsid w:val="002341E5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341E5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A56B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2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dossenheim.de/umwelt-und-wirtschaft/bebauungsplaen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694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Bekanntmachung Inkraftreten</vt:lpstr>
    </vt:vector>
  </TitlesOfParts>
  <Company>Sekretariat 2 Bll</Company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Bekanntmachung Inkraftreten</dc:title>
  <dc:creator>Moritz Lange</dc:creator>
  <cp:lastModifiedBy>Schmidt Kerstin</cp:lastModifiedBy>
  <cp:revision>3</cp:revision>
  <cp:lastPrinted>2022-07-26T06:15:00Z</cp:lastPrinted>
  <dcterms:created xsi:type="dcterms:W3CDTF">2022-10-11T07:14:00Z</dcterms:created>
  <dcterms:modified xsi:type="dcterms:W3CDTF">2022-10-11T07:24:00Z</dcterms:modified>
</cp:coreProperties>
</file>